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proofErr w:type="gramStart"/>
      <w:r w:rsidR="00082231">
        <w:rPr>
          <w:rFonts w:hint="eastAsia"/>
          <w:b/>
          <w:sz w:val="32"/>
          <w:szCs w:val="32"/>
        </w:rPr>
        <w:t>生化楼</w:t>
      </w:r>
      <w:proofErr w:type="gramEnd"/>
      <w:r w:rsidR="00082231">
        <w:rPr>
          <w:rFonts w:hint="eastAsia"/>
          <w:b/>
          <w:sz w:val="32"/>
          <w:szCs w:val="32"/>
        </w:rPr>
        <w:t>小学部教室改造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Default="00480F58" w:rsidP="00480F58">
      <w:pPr>
        <w:spacing w:line="440" w:lineRule="exact"/>
        <w:jc w:val="left"/>
        <w:rPr>
          <w:rFonts w:hint="eastAsia"/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082231" w:rsidRPr="00480F58" w:rsidRDefault="00082231" w:rsidP="00480F58"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r w:rsidRPr="00082231">
        <w:rPr>
          <w:rFonts w:hint="eastAsia"/>
          <w:sz w:val="28"/>
          <w:szCs w:val="28"/>
        </w:rPr>
        <w:t>施工中所使用乳胶漆、油漆等产品的环保检测证明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lastRenderedPageBreak/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82231"/>
    <w:rsid w:val="000A73E9"/>
    <w:rsid w:val="001E594A"/>
    <w:rsid w:val="002017E8"/>
    <w:rsid w:val="0028179A"/>
    <w:rsid w:val="002A7F7E"/>
    <w:rsid w:val="002C2D91"/>
    <w:rsid w:val="002F2C28"/>
    <w:rsid w:val="003B28E0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33709"/>
    <w:rsid w:val="00636481"/>
    <w:rsid w:val="00654E4B"/>
    <w:rsid w:val="006A53F0"/>
    <w:rsid w:val="00737463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57F88"/>
    <w:rsid w:val="00A857B6"/>
    <w:rsid w:val="00A85ED2"/>
    <w:rsid w:val="00AD48D8"/>
    <w:rsid w:val="00B549A6"/>
    <w:rsid w:val="00B55929"/>
    <w:rsid w:val="00B73E04"/>
    <w:rsid w:val="00B84E84"/>
    <w:rsid w:val="00BB0D41"/>
    <w:rsid w:val="00BB47D4"/>
    <w:rsid w:val="00BC3A9D"/>
    <w:rsid w:val="00BD0875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1718</Characters>
  <Application>Microsoft Office Word</Application>
  <DocSecurity>0</DocSecurity>
  <Lines>14</Lines>
  <Paragraphs>4</Paragraphs>
  <ScaleCrop>false</ScaleCrop>
  <Company>Lenovo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2016-06-27T03:19:00Z</dcterms:created>
  <dcterms:modified xsi:type="dcterms:W3CDTF">2016-06-27T03:19:00Z</dcterms:modified>
</cp:coreProperties>
</file>